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134</w:t>
      </w:r>
    </w:p>
    <w:p>
      <w:r>
        <w:t>Bundesgericht (BGE), 1983-04-13, DE</w:t>
      </w:r>
    </w:p>
    <w:p>
      <w:r>
        <w:rPr>
          <w:b/>
        </w:rPr>
        <w:t xml:space="preserve">Quelle: </w:t>
      </w:r>
      <w:r>
        <w:t>https://mcp.opencaselaw.ch/entscheid/bge_109 IV 134</w:t>
      </w:r>
    </w:p>
    <w:p>
      <w:r>
        <w:t>FR: ATF 109 IV 134</w:t>
      </w:r>
    </w:p>
    <w:p>
      <w:r>
        <w:t>IT: DTF 109 IV 134</w:t>
      </w:r>
    </w:p>
    <w:p>
      <w:pPr>
        <w:pStyle w:val="Heading2"/>
      </w:pPr>
      <w:r>
        <w:t>Regeste</w:t>
      </w:r>
    </w:p>
    <w:p>
      <w:r>
        <w:t>Regeste Überholen. 1. Art. 35 Abs. 2 SVG: Überholen vor einer unübersichtlichen Strassenbiegung (E. 2). 2. Art. 35 Abs. 4 SVG gilt auch für den Bereich unmittelbar vor unübersichtlichen Kurven (E. 3).</w:t>
      </w:r>
    </w:p>
    <w:p>
      <w:pPr>
        <w:pStyle w:val="Heading2"/>
      </w:pPr>
      <w:r>
        <w:t>Erwägungen</w:t>
      </w:r>
    </w:p>
    <w:p>
      <w:r>
        <w:rPr>
          <w:b/>
        </w:rPr>
        <w:t>E. 2</w:t>
      </w:r>
    </w:p>
    <w:p>
      <w:r>
        <w:t>Der Beschwerdeführer macht geltend, er habe Art. 35 Abs. 2 SVG nicht verletzt. Nach der in Frage stehenden Gesetzesbestimmung ist das Überholen nur gestattet, wenn der für den gesamten Überholvorgang erforderliche Raum übersichtlich und frei ist und der Gegenverkehr nicht behindert wird. Wer vor einer unübersichtlichen Kurve vorfahren will, muss berücksichtigen, dass bis zum Abschluss seines Unternehmens aus der Biegung heraus ein Fahrzeug auftauchen und sich ihm nähern könnte. Nicht nur die für den Überholvorgang benötigte Strecke muss übersichtlich und frei sein, sondern zusätzlich jene, die ein entgegenkommendes Fahrzeug bis zu jenem Punkt zurücklegt, wo der Überholende die linke Strassenseite BGE 109 IV 134 S. 136 freigegeben haben wird. Es genügt daher nicht, dass letzterer darnach trachtet, den Überholvorgang kurz vor der unübersichtlichen Kurve abzuschliessen, sondern er muss ihn schon so weit vor der Biegung beendet haben, dass ein während des Überholens auf der Gegenfahrbahn auftauchendes Fahrzeug seinen Weg unter Einhaltung einer angemessenen Geschwindigkeit fortsetzen kann, ohne gefährdet zu werden ( BGE 85 IV 37 ). Im vorliegenden Fall kann keinem Zweifel unterliegen, dass die fraglichen Manöver des Beschwerdeführers hätten unterbleiben müssen. Nach den Feststellungen der Vorinstanz wurden beide Überholvorgänge erst im Bereich von nachfolgenden unübersichtlichen Linkskurven abgeschlossen. Bei den "Stütz" kam es nur deshalb zu keiner Kollision, weil ein entgegenkommender Fahrzeuglenker zufälligerweise seine Fahrspur verliess und auf einen Hausvorplatz abbog. Geht man von diesem für den Kassationshof verbindlichen Sachverhalt aus, so steht ausser Frage, dass der erforderliche Raum in beiden Fällen nicht zur Verfügung stand, und die Manöver demnach unzulässig waren, weshalb der Schuldspruch nach Art. 35 Abs. 2 SVG zu Recht erging. Der vom Beschwerdeführer hervorgehobene Umstand, dass die Strasse jeweils nur durch eine Leitlinie, nicht aber durch eine Sicherheitslinie in zwei Fahrbahnen geteilt wird, ist im konkreten Fall nicht massgebend für die Beantwortung der Frage, ob die Überholmanöver zulässig waren oder nicht.</w:t>
      </w:r>
    </w:p>
    <w:p>
      <w:r>
        <w:rPr>
          <w:b/>
        </w:rPr>
        <w:t>E. 3</w:t>
      </w:r>
    </w:p>
    <w:p>
      <w:r>
        <w:t>Vor Bundesgericht vertritt der Beschwerdeführer die Ansicht, eine Verkehrsregelverletzung liege nach dem Wortlaut von Art. 35 Abs. 4 SVG nicht vor, weil er nicht in, sondern unmittelbar vor unübersichtlichen Kurven überholt habe. Dieser Auffassung kann nicht beigepflichtet werden. Aus der Entstehungsgeschichte von Art. 35 Abs. 4 SVG ergibt sich, dass der Ausdruck "in unübersichtlichen Kurven" mit "bei" oder "im Bereich von derartigen Kurven" gleichgesetzt werden muss. Dem Protokoll der Tagung der nationalrätlichen Kommission für das Strassenverkehrsgesetz vom 24./26. August 1955 ist zu entnehmen, dass mit der Wendung "in" auch der Bereich unmittelbar vor der Biegung erfasst werden soll (vgl. S. 138: Votum Jezler; S. 139: insbesondere die Voten Bratschi, Jezler und Fischer). Dasselbe ergibt sich aus der Beratung des Nationalrates (Sten.Bull. 1957 S. 171: "... le dépassement est implicitement interdit immédiatement avant le tournant. Il faut qu'un dépassement soit terminé suffisamment tôt avant un tournant qu'un véhicule débouchant en BGE 109 IV 134 S. 137 sens inverse ne soit pas gêné."). Die Vorinstanz hat Art. 35 Abs. 4 SVG somit zutreffend angewandt.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